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915" w:rsidRDefault="00E17D08" w:rsidP="00067E3B">
      <w:pPr>
        <w:spacing w:after="0"/>
        <w:outlineLvl w:val="0"/>
        <w:rPr>
          <w:b/>
          <w:bCs/>
          <w:sz w:val="36"/>
          <w:szCs w:val="36"/>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180975</wp:posOffset>
            </wp:positionH>
            <wp:positionV relativeFrom="paragraph">
              <wp:posOffset>-476885</wp:posOffset>
            </wp:positionV>
            <wp:extent cx="3057525" cy="847725"/>
            <wp:effectExtent l="0" t="0" r="9525" b="9525"/>
            <wp:wrapNone/>
            <wp:docPr id="2" name="Picture 5" descr="RC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CPa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847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posOffset>-76200</wp:posOffset>
            </wp:positionH>
            <wp:positionV relativeFrom="margin">
              <wp:posOffset>-474345</wp:posOffset>
            </wp:positionV>
            <wp:extent cx="2600325" cy="864870"/>
            <wp:effectExtent l="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864870"/>
                    </a:xfrm>
                    <a:prstGeom prst="rect">
                      <a:avLst/>
                    </a:prstGeom>
                    <a:noFill/>
                  </pic:spPr>
                </pic:pic>
              </a:graphicData>
            </a:graphic>
            <wp14:sizeRelH relativeFrom="page">
              <wp14:pctWidth>0</wp14:pctWidth>
            </wp14:sizeRelH>
            <wp14:sizeRelV relativeFrom="page">
              <wp14:pctHeight>0</wp14:pctHeight>
            </wp14:sizeRelV>
          </wp:anchor>
        </w:drawing>
      </w:r>
      <w:r w:rsidR="00DE0915">
        <w:rPr>
          <w:b/>
          <w:bCs/>
          <w:sz w:val="36"/>
          <w:szCs w:val="36"/>
        </w:rPr>
        <w:tab/>
      </w:r>
    </w:p>
    <w:p w:rsidR="00DE0915" w:rsidRPr="00067E3B" w:rsidRDefault="00DE0915" w:rsidP="00067E3B">
      <w:pPr>
        <w:spacing w:after="240"/>
        <w:jc w:val="center"/>
        <w:outlineLvl w:val="0"/>
        <w:rPr>
          <w:b/>
          <w:bCs/>
          <w:sz w:val="16"/>
          <w:szCs w:val="16"/>
        </w:rPr>
      </w:pPr>
    </w:p>
    <w:p w:rsidR="00DE0915" w:rsidRPr="00BC7ADD" w:rsidRDefault="00DE0915" w:rsidP="00067E3B">
      <w:pPr>
        <w:spacing w:after="240"/>
        <w:jc w:val="center"/>
        <w:outlineLvl w:val="0"/>
        <w:rPr>
          <w:b/>
          <w:bCs/>
          <w:sz w:val="36"/>
          <w:szCs w:val="36"/>
        </w:rPr>
      </w:pPr>
      <w:r w:rsidRPr="00BC7ADD">
        <w:rPr>
          <w:b/>
          <w:bCs/>
          <w:sz w:val="36"/>
          <w:szCs w:val="36"/>
        </w:rPr>
        <w:t>Audit Templa</w:t>
      </w:r>
      <w:r>
        <w:rPr>
          <w:b/>
          <w:bCs/>
          <w:sz w:val="36"/>
          <w:szCs w:val="36"/>
        </w:rPr>
        <w:t>t</w:t>
      </w:r>
      <w:r w:rsidRPr="00BC7ADD">
        <w:rPr>
          <w:b/>
          <w:bCs/>
          <w:sz w:val="36"/>
          <w:szCs w:val="36"/>
        </w:rPr>
        <w:t>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0"/>
        <w:gridCol w:w="4622"/>
      </w:tblGrid>
      <w:tr w:rsidR="00DE0915" w:rsidRPr="00E72C5D">
        <w:tc>
          <w:tcPr>
            <w:tcW w:w="9242" w:type="dxa"/>
            <w:gridSpan w:val="2"/>
          </w:tcPr>
          <w:p w:rsidR="00DE0915" w:rsidRPr="00E72C5D" w:rsidRDefault="00DE0915" w:rsidP="00BC7ADD">
            <w:pPr>
              <w:spacing w:after="0"/>
              <w:rPr>
                <w:b/>
                <w:bCs/>
              </w:rPr>
            </w:pPr>
            <w:r w:rsidRPr="00E72C5D">
              <w:rPr>
                <w:b/>
                <w:bCs/>
              </w:rPr>
              <w:t>Audit Title:</w:t>
            </w:r>
          </w:p>
          <w:p w:rsidR="00DE0915" w:rsidRPr="00E72C5D" w:rsidRDefault="00DE0915" w:rsidP="00BC7ADD">
            <w:pPr>
              <w:spacing w:after="0"/>
            </w:pPr>
            <w:r w:rsidRPr="00E72C5D">
              <w:t>Thames Valley Audit on the Laboratory Investigation of Hypercalcaemia</w:t>
            </w:r>
          </w:p>
          <w:p w:rsidR="00DE0915" w:rsidRPr="00E72C5D" w:rsidRDefault="00DE0915" w:rsidP="00BC7ADD">
            <w:pPr>
              <w:spacing w:after="0"/>
            </w:pPr>
          </w:p>
        </w:tc>
      </w:tr>
      <w:tr w:rsidR="00DE0915" w:rsidRPr="00E72C5D">
        <w:tc>
          <w:tcPr>
            <w:tcW w:w="4620" w:type="dxa"/>
          </w:tcPr>
          <w:p w:rsidR="00DE0915" w:rsidRPr="00E72C5D" w:rsidRDefault="00DE0915" w:rsidP="00BC7ADD">
            <w:pPr>
              <w:spacing w:after="0"/>
              <w:rPr>
                <w:b/>
                <w:bCs/>
              </w:rPr>
            </w:pPr>
            <w:r w:rsidRPr="00E72C5D">
              <w:rPr>
                <w:b/>
                <w:bCs/>
              </w:rPr>
              <w:t>Lead Auditor:</w:t>
            </w:r>
          </w:p>
          <w:p w:rsidR="00DE0915" w:rsidRPr="00E72C5D" w:rsidRDefault="00DE0915" w:rsidP="00BC7ADD">
            <w:pPr>
              <w:spacing w:after="0"/>
            </w:pPr>
            <w:r w:rsidRPr="00E72C5D">
              <w:t>Emma Ashley</w:t>
            </w:r>
          </w:p>
        </w:tc>
        <w:tc>
          <w:tcPr>
            <w:tcW w:w="4622" w:type="dxa"/>
          </w:tcPr>
          <w:p w:rsidR="00DE0915" w:rsidRPr="00E72C5D" w:rsidRDefault="00DE0915" w:rsidP="00BC7ADD">
            <w:pPr>
              <w:spacing w:after="0"/>
              <w:rPr>
                <w:b/>
                <w:bCs/>
              </w:rPr>
            </w:pPr>
            <w:r w:rsidRPr="00E72C5D">
              <w:rPr>
                <w:b/>
                <w:bCs/>
              </w:rPr>
              <w:t>Audit date(s):</w:t>
            </w:r>
          </w:p>
          <w:p w:rsidR="00DE0915" w:rsidRPr="00E72C5D" w:rsidRDefault="00DE0915" w:rsidP="00BC7ADD">
            <w:pPr>
              <w:spacing w:after="0"/>
            </w:pPr>
            <w:r w:rsidRPr="00E72C5D">
              <w:t>21</w:t>
            </w:r>
            <w:r w:rsidRPr="00E72C5D">
              <w:rPr>
                <w:vertAlign w:val="superscript"/>
              </w:rPr>
              <w:t>st</w:t>
            </w:r>
            <w:r w:rsidRPr="00E72C5D">
              <w:t xml:space="preserve"> January 2014</w:t>
            </w:r>
          </w:p>
          <w:p w:rsidR="00DE0915" w:rsidRPr="00E72C5D" w:rsidRDefault="00DE0915" w:rsidP="00BC7ADD">
            <w:pPr>
              <w:spacing w:after="0"/>
            </w:pPr>
          </w:p>
        </w:tc>
      </w:tr>
      <w:tr w:rsidR="00DE0915" w:rsidRPr="00E72C5D">
        <w:tc>
          <w:tcPr>
            <w:tcW w:w="4620" w:type="dxa"/>
          </w:tcPr>
          <w:p w:rsidR="00DE0915" w:rsidRPr="00E72C5D" w:rsidRDefault="00DE0915" w:rsidP="00BC7ADD">
            <w:pPr>
              <w:spacing w:after="0"/>
            </w:pPr>
            <w:r w:rsidRPr="00E72C5D">
              <w:t xml:space="preserve">Please indicate if   </w:t>
            </w:r>
            <w:r w:rsidRPr="00E72C5D">
              <w:rPr>
                <w:b/>
                <w:bCs/>
              </w:rPr>
              <w:t>Local / Regional / National Audit</w:t>
            </w:r>
          </w:p>
          <w:p w:rsidR="00DE0915" w:rsidRPr="00E72C5D" w:rsidRDefault="00DE0915" w:rsidP="00BC7ADD">
            <w:pPr>
              <w:spacing w:after="0"/>
            </w:pPr>
            <w:r w:rsidRPr="00E72C5D">
              <w:t>Please indicate which hospital &amp; location or region</w:t>
            </w:r>
          </w:p>
          <w:p w:rsidR="00DE0915" w:rsidRPr="00E72C5D" w:rsidRDefault="00DE0915" w:rsidP="00BC7ADD">
            <w:pPr>
              <w:spacing w:after="0"/>
              <w:rPr>
                <w:b/>
                <w:bCs/>
              </w:rPr>
            </w:pPr>
          </w:p>
          <w:p w:rsidR="00DE0915" w:rsidRPr="00BC7ADD" w:rsidRDefault="00DE0915" w:rsidP="000273FF">
            <w:pPr>
              <w:spacing w:after="0"/>
              <w:rPr>
                <w:b/>
                <w:bCs/>
              </w:rPr>
            </w:pPr>
            <w:r>
              <w:rPr>
                <w:b/>
                <w:bCs/>
              </w:rPr>
              <w:t>Regional:  Thames Audit Group</w:t>
            </w:r>
          </w:p>
          <w:p w:rsidR="00DE0915" w:rsidRPr="00E72C5D" w:rsidRDefault="00DE0915" w:rsidP="00BC7ADD">
            <w:pPr>
              <w:spacing w:after="0"/>
              <w:rPr>
                <w:b/>
                <w:bCs/>
              </w:rPr>
            </w:pPr>
          </w:p>
        </w:tc>
        <w:tc>
          <w:tcPr>
            <w:tcW w:w="4622" w:type="dxa"/>
          </w:tcPr>
          <w:p w:rsidR="00DE0915" w:rsidRPr="00E72C5D" w:rsidRDefault="00DE0915" w:rsidP="00BC7ADD">
            <w:pPr>
              <w:spacing w:after="0"/>
              <w:rPr>
                <w:b/>
                <w:bCs/>
              </w:rPr>
            </w:pPr>
            <w:r w:rsidRPr="00E72C5D">
              <w:rPr>
                <w:b/>
                <w:bCs/>
              </w:rPr>
              <w:t>Report Author:</w:t>
            </w:r>
          </w:p>
          <w:p w:rsidR="00DE0915" w:rsidRPr="00E72C5D" w:rsidRDefault="00DE0915" w:rsidP="00BC7ADD">
            <w:pPr>
              <w:spacing w:after="0"/>
            </w:pPr>
            <w:r w:rsidRPr="00E72C5D">
              <w:t>Name:</w:t>
            </w:r>
            <w:r>
              <w:t xml:space="preserve"> Emma Ashley</w:t>
            </w:r>
          </w:p>
          <w:p w:rsidR="00DE0915" w:rsidRPr="00E72C5D" w:rsidRDefault="00DE0915" w:rsidP="00BC7ADD">
            <w:pPr>
              <w:spacing w:after="0"/>
            </w:pPr>
          </w:p>
          <w:p w:rsidR="00DE0915" w:rsidRPr="00E72C5D" w:rsidRDefault="00DE0915" w:rsidP="00BC7ADD">
            <w:pPr>
              <w:spacing w:after="0"/>
            </w:pPr>
            <w:r w:rsidRPr="00E72C5D">
              <w:t>Email:</w:t>
            </w:r>
            <w:r>
              <w:t xml:space="preserve"> emmaashley@nhs.net</w:t>
            </w:r>
          </w:p>
        </w:tc>
      </w:tr>
      <w:tr w:rsidR="00DE0915" w:rsidRPr="00E72C5D">
        <w:tc>
          <w:tcPr>
            <w:tcW w:w="9242" w:type="dxa"/>
            <w:gridSpan w:val="2"/>
          </w:tcPr>
          <w:p w:rsidR="00DE0915" w:rsidRPr="00E72C5D" w:rsidRDefault="00DE0915" w:rsidP="00BC7ADD">
            <w:pPr>
              <w:spacing w:after="0"/>
              <w:rPr>
                <w:b/>
                <w:bCs/>
              </w:rPr>
            </w:pPr>
            <w:r w:rsidRPr="00E72C5D">
              <w:rPr>
                <w:b/>
                <w:bCs/>
              </w:rPr>
              <w:t>Aims of the Audit:</w:t>
            </w:r>
          </w:p>
          <w:p w:rsidR="00DE0915" w:rsidRPr="000273FF" w:rsidRDefault="00DE0915" w:rsidP="000273FF">
            <w:pPr>
              <w:numPr>
                <w:ilvl w:val="0"/>
                <w:numId w:val="3"/>
              </w:numPr>
              <w:spacing w:after="0"/>
            </w:pPr>
            <w:r w:rsidRPr="000273FF">
              <w:t>Identify different practices across the region for the investigation and reporting of hypercalcaemia</w:t>
            </w:r>
          </w:p>
          <w:p w:rsidR="00DE0915" w:rsidRPr="000273FF" w:rsidRDefault="00DE0915" w:rsidP="000273FF">
            <w:pPr>
              <w:numPr>
                <w:ilvl w:val="0"/>
                <w:numId w:val="3"/>
              </w:numPr>
              <w:spacing w:after="0"/>
            </w:pPr>
            <w:r w:rsidRPr="000273FF">
              <w:t>Provide local recommendations for the investigation of hypercalcaemia</w:t>
            </w:r>
          </w:p>
          <w:p w:rsidR="00DE0915" w:rsidRPr="000273FF" w:rsidRDefault="00DE0915" w:rsidP="000273FF">
            <w:pPr>
              <w:numPr>
                <w:ilvl w:val="0"/>
                <w:numId w:val="3"/>
              </w:numPr>
              <w:spacing w:after="0"/>
            </w:pPr>
            <w:r w:rsidRPr="000273FF">
              <w:t>Establish an appropriate algorithm to assist the laboratory</w:t>
            </w:r>
          </w:p>
          <w:p w:rsidR="00DE0915" w:rsidRPr="00E72C5D" w:rsidRDefault="00DE0915" w:rsidP="00BC7ADD">
            <w:pPr>
              <w:spacing w:after="0"/>
            </w:pPr>
          </w:p>
        </w:tc>
      </w:tr>
      <w:tr w:rsidR="00DE0915" w:rsidRPr="00E72C5D">
        <w:tc>
          <w:tcPr>
            <w:tcW w:w="9242" w:type="dxa"/>
            <w:gridSpan w:val="2"/>
          </w:tcPr>
          <w:p w:rsidR="00DE0915" w:rsidRPr="00E72C5D" w:rsidRDefault="00DE0915" w:rsidP="00BB2B3D">
            <w:pPr>
              <w:spacing w:after="0"/>
              <w:jc w:val="both"/>
              <w:rPr>
                <w:b/>
                <w:bCs/>
              </w:rPr>
            </w:pPr>
            <w:r w:rsidRPr="00E72C5D">
              <w:rPr>
                <w:b/>
                <w:bCs/>
              </w:rPr>
              <w:t>Audit Method and Outcome(s):</w:t>
            </w:r>
          </w:p>
          <w:p w:rsidR="00DE0915" w:rsidRPr="00E72C5D" w:rsidRDefault="00DE0915" w:rsidP="00BB2B3D">
            <w:pPr>
              <w:spacing w:after="0"/>
              <w:jc w:val="both"/>
            </w:pPr>
          </w:p>
          <w:p w:rsidR="00DE0915" w:rsidRDefault="00DE0915" w:rsidP="00BB2B3D">
            <w:pPr>
              <w:spacing w:after="0"/>
              <w:jc w:val="both"/>
            </w:pPr>
            <w:r>
              <w:t>An audit questionnaire was devised by the lead auditor and ratified by the Thames Audit Group (TAG) committee.  It was then circulated to all members of the TAG and the responses analysed by the lead auditor.  The findings were presented by the lead auditor at the meeting of the TAG on 21</w:t>
            </w:r>
            <w:r w:rsidRPr="00BB2B3D">
              <w:rPr>
                <w:vertAlign w:val="superscript"/>
              </w:rPr>
              <w:t>st</w:t>
            </w:r>
            <w:r>
              <w:t xml:space="preserve"> January 2014.</w:t>
            </w:r>
          </w:p>
          <w:p w:rsidR="00DE0915" w:rsidRDefault="00DE0915" w:rsidP="00BB2B3D">
            <w:pPr>
              <w:spacing w:after="0"/>
              <w:jc w:val="both"/>
            </w:pPr>
          </w:p>
          <w:p w:rsidR="00DE0915" w:rsidRPr="00BC7ADD" w:rsidRDefault="00DE0915" w:rsidP="00BB2B3D">
            <w:pPr>
              <w:spacing w:after="0"/>
              <w:jc w:val="both"/>
            </w:pPr>
            <w:r>
              <w:t>Recommendations were drafted by the lead auditor, discussed and amended by the TAG committee and then further discussed and amended at the TAG meeting.  The recommendations were ratified by the TAG committee at the meeting on 3</w:t>
            </w:r>
            <w:r w:rsidRPr="00D7334D">
              <w:rPr>
                <w:vertAlign w:val="superscript"/>
              </w:rPr>
              <w:t>rd</w:t>
            </w:r>
            <w:r>
              <w:t xml:space="preserve"> June 2014.</w:t>
            </w:r>
          </w:p>
          <w:p w:rsidR="00DE0915" w:rsidRPr="00E72C5D" w:rsidRDefault="00DE0915" w:rsidP="00BC7ADD">
            <w:pPr>
              <w:spacing w:after="0"/>
            </w:pPr>
          </w:p>
        </w:tc>
      </w:tr>
      <w:tr w:rsidR="00DE0915" w:rsidRPr="00880CD6">
        <w:tc>
          <w:tcPr>
            <w:tcW w:w="9242" w:type="dxa"/>
            <w:gridSpan w:val="2"/>
          </w:tcPr>
          <w:p w:rsidR="00DE0915" w:rsidRPr="00880CD6" w:rsidRDefault="00DE0915" w:rsidP="00BC7ADD">
            <w:pPr>
              <w:spacing w:after="0"/>
              <w:rPr>
                <w:b/>
                <w:bCs/>
              </w:rPr>
            </w:pPr>
            <w:r w:rsidRPr="00880CD6">
              <w:rPr>
                <w:b/>
                <w:bCs/>
              </w:rPr>
              <w:t>Audit Recommendations / Standards:</w:t>
            </w:r>
          </w:p>
          <w:p w:rsidR="00DE0915" w:rsidRPr="00880CD6" w:rsidRDefault="00DE0915" w:rsidP="00BC7ADD">
            <w:pPr>
              <w:spacing w:after="0"/>
              <w:rPr>
                <w:b/>
                <w:bCs/>
              </w:rPr>
            </w:pPr>
          </w:p>
          <w:p w:rsidR="00DE0915" w:rsidRPr="00880CD6" w:rsidRDefault="00DE0915" w:rsidP="00880CD6">
            <w:pPr>
              <w:pStyle w:val="ListParagraph"/>
              <w:numPr>
                <w:ilvl w:val="0"/>
                <w:numId w:val="4"/>
              </w:numPr>
              <w:jc w:val="both"/>
            </w:pPr>
            <w:r w:rsidRPr="00880CD6">
              <w:t>Laboratories should aim to use the Pathology Harmony reference ranges for adjusted calcium of 2.20 – 2.60 mmol/L wherever possible.</w:t>
            </w:r>
          </w:p>
          <w:p w:rsidR="00DE0915" w:rsidRPr="00880CD6" w:rsidRDefault="00DE0915" w:rsidP="00880CD6">
            <w:pPr>
              <w:pStyle w:val="ListParagraph"/>
              <w:numPr>
                <w:ilvl w:val="0"/>
                <w:numId w:val="4"/>
              </w:numPr>
              <w:jc w:val="both"/>
            </w:pPr>
            <w:r w:rsidRPr="00880CD6">
              <w:t xml:space="preserve">It may not be advisable to measure PTH in a normocalcaemic patient (without CKD) to avoid confusion of how to act on a normocalcaemic result with a raised PTH. This combination of results is most commonly associated with secondary hyperparathyroidism due to vitamin D deficiency. </w:t>
            </w:r>
          </w:p>
          <w:p w:rsidR="00DE0915" w:rsidRPr="00880CD6" w:rsidRDefault="00DE0915" w:rsidP="00880CD6">
            <w:pPr>
              <w:pStyle w:val="ListParagraph"/>
              <w:numPr>
                <w:ilvl w:val="0"/>
                <w:numId w:val="4"/>
              </w:numPr>
              <w:jc w:val="both"/>
            </w:pPr>
            <w:r w:rsidRPr="00880CD6">
              <w:t>A multi-disciplinary approach to the investigation and treatment of primary hyperparathyroidism (PHPT) is important.  The aim of the laboratory is to provide the clinicians with the status of calcium, PTH and vitamin D in the patient before referral to Endocrinology. This should prevent unnecessary referral of patients who are not likely to have PHPT.</w:t>
            </w:r>
          </w:p>
          <w:p w:rsidR="00DE0915" w:rsidRPr="00880CD6" w:rsidRDefault="00DE0915" w:rsidP="00880CD6">
            <w:pPr>
              <w:pStyle w:val="ListParagraph"/>
              <w:numPr>
                <w:ilvl w:val="0"/>
                <w:numId w:val="4"/>
              </w:numPr>
              <w:jc w:val="both"/>
            </w:pPr>
            <w:r w:rsidRPr="00880CD6">
              <w:lastRenderedPageBreak/>
              <w:t xml:space="preserve">PHPT should be biochemically confirmed including exclusion of familial hypocalciuric hypercalcaemia using calcium:creatinine clearance measurement, and other causes should be removed (eg. thiazide diuretics) or treated (eg. vitamin D deficiency) prior to radiological imaging.   </w:t>
            </w:r>
          </w:p>
          <w:p w:rsidR="00DE0915" w:rsidRPr="00880CD6" w:rsidRDefault="00DE0915" w:rsidP="00880CD6">
            <w:pPr>
              <w:pStyle w:val="ListParagraph"/>
              <w:numPr>
                <w:ilvl w:val="0"/>
                <w:numId w:val="4"/>
              </w:numPr>
              <w:jc w:val="both"/>
            </w:pPr>
            <w:r w:rsidRPr="00880CD6">
              <w:t>The following algorithm is suggested to be used on patients who present with hypercalcaemia in the first instance to their GP or for out-patients. The following comments may be used accordingly:</w:t>
            </w:r>
          </w:p>
          <w:p w:rsidR="00DE0915" w:rsidRPr="00880CD6" w:rsidRDefault="00DE0915" w:rsidP="00880CD6">
            <w:pPr>
              <w:pStyle w:val="ListParagraph"/>
              <w:numPr>
                <w:ilvl w:val="1"/>
                <w:numId w:val="4"/>
              </w:numPr>
              <w:jc w:val="both"/>
            </w:pPr>
            <w:r w:rsidRPr="00880CD6">
              <w:t>PTH consistent with a non-parathyroid cause of hypercalcaemia and the following causes should be considered: malignancy, vitamin D associated causes (eg. sarcoidosis) and FHH.</w:t>
            </w:r>
          </w:p>
          <w:p w:rsidR="00DE0915" w:rsidRPr="00880CD6" w:rsidRDefault="00DE0915" w:rsidP="00880CD6">
            <w:pPr>
              <w:pStyle w:val="ListParagraph"/>
              <w:numPr>
                <w:ilvl w:val="1"/>
                <w:numId w:val="4"/>
              </w:numPr>
              <w:jc w:val="both"/>
            </w:pPr>
            <w:r w:rsidRPr="00880CD6">
              <w:t>PTH is consistent with primary hyperparathyroidism, suggest endocrine referral.</w:t>
            </w:r>
          </w:p>
          <w:p w:rsidR="00DE0915" w:rsidRPr="00880CD6" w:rsidRDefault="00DE0915" w:rsidP="00880CD6">
            <w:pPr>
              <w:pStyle w:val="ListParagraph"/>
              <w:numPr>
                <w:ilvl w:val="1"/>
                <w:numId w:val="4"/>
              </w:numPr>
              <w:jc w:val="both"/>
            </w:pPr>
            <w:r w:rsidRPr="00880CD6">
              <w:t>Suggest replace vitamin D and repeat calcium, vitamin D and PTH in 6 months.</w:t>
            </w:r>
          </w:p>
          <w:p w:rsidR="00DE0915" w:rsidRDefault="00E17D08" w:rsidP="00CB6E62">
            <w:pPr>
              <w:pStyle w:val="ListParagraph"/>
              <w:numPr>
                <w:ilvl w:val="1"/>
                <w:numId w:val="4"/>
              </w:numPr>
              <w:jc w:val="both"/>
            </w:pPr>
            <w:r>
              <w:rPr>
                <w:noProof/>
                <w:lang w:eastAsia="en-GB"/>
              </w:rPr>
              <w:drawing>
                <wp:anchor distT="0" distB="0" distL="114300" distR="114300" simplePos="0" relativeHeight="251660288" behindDoc="0" locked="0" layoutInCell="1" allowOverlap="1">
                  <wp:simplePos x="0" y="0"/>
                  <wp:positionH relativeFrom="column">
                    <wp:posOffset>-33655</wp:posOffset>
                  </wp:positionH>
                  <wp:positionV relativeFrom="paragraph">
                    <wp:posOffset>733425</wp:posOffset>
                  </wp:positionV>
                  <wp:extent cx="5644515" cy="4159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845"/>
                          <a:stretch>
                            <a:fillRect/>
                          </a:stretch>
                        </pic:blipFill>
                        <pic:spPr bwMode="auto">
                          <a:xfrm>
                            <a:off x="0" y="0"/>
                            <a:ext cx="5644515" cy="4159250"/>
                          </a:xfrm>
                          <a:prstGeom prst="rect">
                            <a:avLst/>
                          </a:prstGeom>
                          <a:noFill/>
                        </pic:spPr>
                      </pic:pic>
                    </a:graphicData>
                  </a:graphic>
                  <wp14:sizeRelH relativeFrom="page">
                    <wp14:pctWidth>0</wp14:pctWidth>
                  </wp14:sizeRelH>
                  <wp14:sizeRelV relativeFrom="page">
                    <wp14:pctHeight>0</wp14:pctHeight>
                  </wp14:sizeRelV>
                </wp:anchor>
              </w:drawing>
            </w:r>
            <w:r w:rsidR="00DE0915" w:rsidRPr="00880CD6">
              <w:t>Suggest exclude FHH by sending repeat serum for UE and calcium plus urine sample for calcium/creatinine clearance. Otherwise results are consistent w</w:t>
            </w:r>
            <w:r w:rsidR="00DE0915">
              <w:t>ith primary hyperparathyroidism.</w:t>
            </w:r>
          </w:p>
          <w:p w:rsidR="00DE0915" w:rsidRPr="00CB6E62" w:rsidRDefault="00DE0915" w:rsidP="00CB6E62">
            <w:pPr>
              <w:pStyle w:val="ListParagraph"/>
              <w:ind w:left="1440"/>
              <w:jc w:val="both"/>
            </w:pPr>
          </w:p>
          <w:p w:rsidR="00DE0915" w:rsidRPr="00CB6E62" w:rsidRDefault="00DE0915" w:rsidP="00CB6E62">
            <w:pPr>
              <w:jc w:val="both"/>
              <w:rPr>
                <w:sz w:val="24"/>
                <w:szCs w:val="24"/>
              </w:rPr>
            </w:pPr>
            <w:r w:rsidRPr="00CB6E62">
              <w:t xml:space="preserve">NB. PTH range used for the algorithm was obtained from: Clinical and laboratory features of calcium-sensing receptor disorders: a systematic review, Ian R Gunn and Dairena Gaffney. </w:t>
            </w:r>
            <w:r w:rsidRPr="00CB6E62">
              <w:rPr>
                <w:lang w:val="de-DE"/>
              </w:rPr>
              <w:t>Ann Clin Biochem 2004; 41: 441–458</w:t>
            </w:r>
          </w:p>
        </w:tc>
      </w:tr>
      <w:tr w:rsidR="00DE0915" w:rsidRPr="00E72C5D">
        <w:tc>
          <w:tcPr>
            <w:tcW w:w="9242" w:type="dxa"/>
            <w:gridSpan w:val="2"/>
          </w:tcPr>
          <w:p w:rsidR="00DE0915" w:rsidRPr="00E72C5D" w:rsidRDefault="00DE0915" w:rsidP="00BC7ADD">
            <w:pPr>
              <w:spacing w:after="0"/>
              <w:rPr>
                <w:b/>
                <w:bCs/>
              </w:rPr>
            </w:pPr>
            <w:r w:rsidRPr="00E72C5D">
              <w:rPr>
                <w:b/>
                <w:bCs/>
              </w:rPr>
              <w:lastRenderedPageBreak/>
              <w:t>Please indicate to whom and when audit presented  &amp;/or circulated&amp;/or published:</w:t>
            </w:r>
          </w:p>
          <w:p w:rsidR="00DE0915" w:rsidRPr="00E72C5D" w:rsidRDefault="00DE0915" w:rsidP="00BC7ADD">
            <w:pPr>
              <w:spacing w:after="0"/>
            </w:pPr>
            <w:r>
              <w:t>Audit findings presented at the meeting of the Thames Audit Group on 21</w:t>
            </w:r>
            <w:r w:rsidRPr="00D7334D">
              <w:rPr>
                <w:vertAlign w:val="superscript"/>
              </w:rPr>
              <w:t>st</w:t>
            </w:r>
            <w:r>
              <w:t xml:space="preserve"> January 2014.</w:t>
            </w:r>
          </w:p>
          <w:p w:rsidR="00DE0915" w:rsidRPr="00E72C5D" w:rsidRDefault="00DE0915" w:rsidP="00BC7ADD">
            <w:pPr>
              <w:spacing w:after="0"/>
            </w:pPr>
          </w:p>
        </w:tc>
      </w:tr>
      <w:tr w:rsidR="00DE0915" w:rsidRPr="00E72C5D">
        <w:tc>
          <w:tcPr>
            <w:tcW w:w="9242" w:type="dxa"/>
            <w:gridSpan w:val="2"/>
          </w:tcPr>
          <w:p w:rsidR="00DE0915" w:rsidRPr="00E72C5D" w:rsidRDefault="00DE0915" w:rsidP="00BC7ADD">
            <w:pPr>
              <w:spacing w:after="0"/>
              <w:rPr>
                <w:b/>
                <w:bCs/>
              </w:rPr>
            </w:pPr>
            <w:r w:rsidRPr="00E72C5D">
              <w:rPr>
                <w:b/>
                <w:bCs/>
              </w:rPr>
              <w:t>Audit recommendations / standards ratified by … and when:</w:t>
            </w:r>
          </w:p>
          <w:p w:rsidR="00DE0915" w:rsidRPr="00E72C5D" w:rsidRDefault="00DE0915" w:rsidP="00BC7ADD">
            <w:pPr>
              <w:spacing w:after="0"/>
            </w:pPr>
            <w:r>
              <w:t>Recommendations ratified by the Thames Audit Group committee on 3</w:t>
            </w:r>
            <w:r w:rsidRPr="00880CD6">
              <w:rPr>
                <w:vertAlign w:val="superscript"/>
              </w:rPr>
              <w:t>rd</w:t>
            </w:r>
            <w:r>
              <w:t xml:space="preserve"> June 2014.</w:t>
            </w:r>
          </w:p>
          <w:p w:rsidR="00DE0915" w:rsidRPr="00E72C5D" w:rsidRDefault="00DE0915" w:rsidP="00BC7ADD">
            <w:pPr>
              <w:spacing w:after="0"/>
            </w:pPr>
          </w:p>
          <w:p w:rsidR="00DE0915" w:rsidRPr="00E72C5D" w:rsidRDefault="00DE0915" w:rsidP="00BC7ADD">
            <w:pPr>
              <w:spacing w:after="0"/>
            </w:pPr>
          </w:p>
        </w:tc>
      </w:tr>
      <w:tr w:rsidR="00DE0915" w:rsidRPr="00E72C5D">
        <w:tc>
          <w:tcPr>
            <w:tcW w:w="9242" w:type="dxa"/>
            <w:gridSpan w:val="2"/>
          </w:tcPr>
          <w:p w:rsidR="00DE0915" w:rsidRPr="00E72C5D" w:rsidRDefault="00DE0915" w:rsidP="00BC7ADD">
            <w:pPr>
              <w:spacing w:after="0"/>
              <w:rPr>
                <w:b/>
                <w:bCs/>
              </w:rPr>
            </w:pPr>
            <w:r w:rsidRPr="00E72C5D">
              <w:rPr>
                <w:b/>
                <w:bCs/>
              </w:rPr>
              <w:t>Date of audit report:</w:t>
            </w:r>
          </w:p>
          <w:p w:rsidR="00DE0915" w:rsidRDefault="00DE0915" w:rsidP="00BC7ADD">
            <w:pPr>
              <w:spacing w:after="0"/>
            </w:pPr>
            <w:r>
              <w:t>21</w:t>
            </w:r>
            <w:r w:rsidRPr="00D7334D">
              <w:rPr>
                <w:vertAlign w:val="superscript"/>
              </w:rPr>
              <w:t>st</w:t>
            </w:r>
            <w:r>
              <w:t xml:space="preserve"> January 2014</w:t>
            </w:r>
          </w:p>
          <w:p w:rsidR="00DE0915" w:rsidRPr="00E72C5D" w:rsidRDefault="00DE0915" w:rsidP="00BC7ADD">
            <w:pPr>
              <w:spacing w:after="0"/>
            </w:pPr>
          </w:p>
        </w:tc>
      </w:tr>
      <w:tr w:rsidR="00DE0915" w:rsidRPr="00E72C5D">
        <w:tc>
          <w:tcPr>
            <w:tcW w:w="9242" w:type="dxa"/>
            <w:gridSpan w:val="2"/>
          </w:tcPr>
          <w:p w:rsidR="00DE0915" w:rsidRPr="00E72C5D" w:rsidRDefault="00DE0915" w:rsidP="00BC7ADD">
            <w:pPr>
              <w:spacing w:after="0"/>
              <w:rPr>
                <w:b/>
                <w:bCs/>
              </w:rPr>
            </w:pPr>
            <w:r w:rsidRPr="00E72C5D">
              <w:rPr>
                <w:b/>
                <w:bCs/>
              </w:rPr>
              <w:t>Audit documents for upload to http://www.acb.org.uk/whatwedo/science/audit.aspx</w:t>
            </w:r>
          </w:p>
          <w:p w:rsidR="00DE0915" w:rsidRPr="00E72C5D" w:rsidRDefault="00DE0915" w:rsidP="00BC7ADD">
            <w:pPr>
              <w:spacing w:after="0"/>
              <w:rPr>
                <w:i/>
                <w:iCs/>
              </w:rPr>
            </w:pPr>
            <w:r w:rsidRPr="00E72C5D">
              <w:rPr>
                <w:i/>
                <w:iCs/>
              </w:rPr>
              <w:t>Please include as attachments with this Audit Summary form if authors and the organising committee would like information to be publicly accessible on the ACB website Audit section.</w:t>
            </w:r>
          </w:p>
          <w:p w:rsidR="00DE0915" w:rsidRPr="00E72C5D" w:rsidRDefault="00DE0915" w:rsidP="00BC7ADD">
            <w:pPr>
              <w:spacing w:after="0"/>
              <w:rPr>
                <w:i/>
                <w:iCs/>
              </w:rPr>
            </w:pPr>
          </w:p>
          <w:p w:rsidR="00DE0915" w:rsidRDefault="00DE0915" w:rsidP="00BC7ADD">
            <w:pPr>
              <w:spacing w:after="0"/>
            </w:pPr>
          </w:p>
          <w:p w:rsidR="00DE0915" w:rsidRDefault="00DE0915" w:rsidP="00BC7ADD">
            <w:pPr>
              <w:spacing w:after="0"/>
            </w:pPr>
            <w: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PowerPoint.Show.8" ShapeID="_x0000_i1025" DrawAspect="Icon" ObjectID="_1506432796" r:id="rId12"/>
              </w:object>
            </w:r>
            <w:r>
              <w:object w:dxaOrig="1536" w:dyaOrig="994">
                <v:shape id="_x0000_i1026" type="#_x0000_t75" style="width:76.5pt;height:49.5pt" o:ole="">
                  <v:imagedata r:id="rId13" o:title=""/>
                </v:shape>
                <o:OLEObject Type="Embed" ProgID="Package" ShapeID="_x0000_i1026" DrawAspect="Content" ObjectID="_1506432797" r:id="rId14"/>
              </w:object>
            </w:r>
            <w:r>
              <w:object w:dxaOrig="1536" w:dyaOrig="994">
                <v:shape id="_x0000_i1027" type="#_x0000_t75" style="width:76.5pt;height:49.5pt" o:ole="">
                  <v:imagedata r:id="rId15" o:title=""/>
                </v:shape>
                <o:OLEObject Type="Embed" ProgID="Package" ShapeID="_x0000_i1027" DrawAspect="Content" ObjectID="_1506432798" r:id="rId16"/>
              </w:object>
            </w:r>
          </w:p>
          <w:p w:rsidR="00DE0915" w:rsidRDefault="00DE0915" w:rsidP="00BC7ADD">
            <w:pPr>
              <w:spacing w:after="0"/>
            </w:pPr>
          </w:p>
          <w:p w:rsidR="00DE0915" w:rsidRDefault="00DE0915" w:rsidP="00BC7ADD">
            <w:pPr>
              <w:spacing w:after="0"/>
            </w:pPr>
          </w:p>
          <w:p w:rsidR="00DE0915" w:rsidRPr="00E72C5D" w:rsidRDefault="00DE0915" w:rsidP="00BC7ADD">
            <w:pPr>
              <w:spacing w:after="0"/>
              <w:rPr>
                <w:b/>
                <w:bCs/>
              </w:rPr>
            </w:pPr>
          </w:p>
        </w:tc>
      </w:tr>
    </w:tbl>
    <w:p w:rsidR="00DE0915" w:rsidRDefault="00DE0915" w:rsidP="00E91F94"/>
    <w:sectPr w:rsidR="00DE0915" w:rsidSect="00067E3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915" w:rsidRDefault="00DE0915" w:rsidP="00E91F94">
      <w:pPr>
        <w:spacing w:after="0"/>
      </w:pPr>
      <w:r>
        <w:separator/>
      </w:r>
    </w:p>
  </w:endnote>
  <w:endnote w:type="continuationSeparator" w:id="0">
    <w:p w:rsidR="00DE0915" w:rsidRDefault="00DE0915" w:rsidP="00E91F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915" w:rsidRDefault="00DE0915" w:rsidP="00E91F94">
      <w:pPr>
        <w:spacing w:after="0"/>
      </w:pPr>
      <w:r>
        <w:separator/>
      </w:r>
    </w:p>
  </w:footnote>
  <w:footnote w:type="continuationSeparator" w:id="0">
    <w:p w:rsidR="00DE0915" w:rsidRDefault="00DE0915" w:rsidP="00E91F9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2583"/>
    <w:multiLevelType w:val="hybridMultilevel"/>
    <w:tmpl w:val="8E34F8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0050CD3"/>
    <w:multiLevelType w:val="hybridMultilevel"/>
    <w:tmpl w:val="3BF81934"/>
    <w:lvl w:ilvl="0" w:tplc="6972D0EE">
      <w:start w:val="1"/>
      <w:numFmt w:val="bullet"/>
      <w:lvlText w:val="•"/>
      <w:lvlJc w:val="left"/>
      <w:pPr>
        <w:tabs>
          <w:tab w:val="num" w:pos="720"/>
        </w:tabs>
        <w:ind w:left="720" w:hanging="360"/>
      </w:pPr>
      <w:rPr>
        <w:rFonts w:ascii="Arial" w:hAnsi="Arial" w:cs="Arial" w:hint="default"/>
      </w:rPr>
    </w:lvl>
    <w:lvl w:ilvl="1" w:tplc="D90AF48C">
      <w:start w:val="1"/>
      <w:numFmt w:val="bullet"/>
      <w:lvlText w:val="•"/>
      <w:lvlJc w:val="left"/>
      <w:pPr>
        <w:tabs>
          <w:tab w:val="num" w:pos="1440"/>
        </w:tabs>
        <w:ind w:left="1440" w:hanging="360"/>
      </w:pPr>
      <w:rPr>
        <w:rFonts w:ascii="Arial" w:hAnsi="Arial" w:cs="Arial" w:hint="default"/>
      </w:rPr>
    </w:lvl>
    <w:lvl w:ilvl="2" w:tplc="34A2AA38">
      <w:start w:val="1"/>
      <w:numFmt w:val="bullet"/>
      <w:lvlText w:val="•"/>
      <w:lvlJc w:val="left"/>
      <w:pPr>
        <w:tabs>
          <w:tab w:val="num" w:pos="2160"/>
        </w:tabs>
        <w:ind w:left="2160" w:hanging="360"/>
      </w:pPr>
      <w:rPr>
        <w:rFonts w:ascii="Arial" w:hAnsi="Arial" w:cs="Arial" w:hint="default"/>
      </w:rPr>
    </w:lvl>
    <w:lvl w:ilvl="3" w:tplc="A38018AC">
      <w:start w:val="1"/>
      <w:numFmt w:val="bullet"/>
      <w:lvlText w:val="•"/>
      <w:lvlJc w:val="left"/>
      <w:pPr>
        <w:tabs>
          <w:tab w:val="num" w:pos="2880"/>
        </w:tabs>
        <w:ind w:left="2880" w:hanging="360"/>
      </w:pPr>
      <w:rPr>
        <w:rFonts w:ascii="Arial" w:hAnsi="Arial" w:cs="Arial" w:hint="default"/>
      </w:rPr>
    </w:lvl>
    <w:lvl w:ilvl="4" w:tplc="DAB4B1C2">
      <w:start w:val="1"/>
      <w:numFmt w:val="bullet"/>
      <w:lvlText w:val="•"/>
      <w:lvlJc w:val="left"/>
      <w:pPr>
        <w:tabs>
          <w:tab w:val="num" w:pos="3600"/>
        </w:tabs>
        <w:ind w:left="3600" w:hanging="360"/>
      </w:pPr>
      <w:rPr>
        <w:rFonts w:ascii="Arial" w:hAnsi="Arial" w:cs="Arial" w:hint="default"/>
      </w:rPr>
    </w:lvl>
    <w:lvl w:ilvl="5" w:tplc="E634FC30">
      <w:start w:val="1"/>
      <w:numFmt w:val="bullet"/>
      <w:lvlText w:val="•"/>
      <w:lvlJc w:val="left"/>
      <w:pPr>
        <w:tabs>
          <w:tab w:val="num" w:pos="4320"/>
        </w:tabs>
        <w:ind w:left="4320" w:hanging="360"/>
      </w:pPr>
      <w:rPr>
        <w:rFonts w:ascii="Arial" w:hAnsi="Arial" w:cs="Arial" w:hint="default"/>
      </w:rPr>
    </w:lvl>
    <w:lvl w:ilvl="6" w:tplc="84202F36">
      <w:start w:val="1"/>
      <w:numFmt w:val="bullet"/>
      <w:lvlText w:val="•"/>
      <w:lvlJc w:val="left"/>
      <w:pPr>
        <w:tabs>
          <w:tab w:val="num" w:pos="5040"/>
        </w:tabs>
        <w:ind w:left="5040" w:hanging="360"/>
      </w:pPr>
      <w:rPr>
        <w:rFonts w:ascii="Arial" w:hAnsi="Arial" w:cs="Arial" w:hint="default"/>
      </w:rPr>
    </w:lvl>
    <w:lvl w:ilvl="7" w:tplc="9FFAD4E4">
      <w:start w:val="1"/>
      <w:numFmt w:val="bullet"/>
      <w:lvlText w:val="•"/>
      <w:lvlJc w:val="left"/>
      <w:pPr>
        <w:tabs>
          <w:tab w:val="num" w:pos="5760"/>
        </w:tabs>
        <w:ind w:left="5760" w:hanging="360"/>
      </w:pPr>
      <w:rPr>
        <w:rFonts w:ascii="Arial" w:hAnsi="Arial" w:cs="Arial" w:hint="default"/>
      </w:rPr>
    </w:lvl>
    <w:lvl w:ilvl="8" w:tplc="DE526886">
      <w:start w:val="1"/>
      <w:numFmt w:val="bullet"/>
      <w:lvlText w:val="•"/>
      <w:lvlJc w:val="left"/>
      <w:pPr>
        <w:tabs>
          <w:tab w:val="num" w:pos="6480"/>
        </w:tabs>
        <w:ind w:left="6480" w:hanging="360"/>
      </w:pPr>
      <w:rPr>
        <w:rFonts w:ascii="Arial" w:hAnsi="Arial" w:cs="Arial" w:hint="default"/>
      </w:rPr>
    </w:lvl>
  </w:abstractNum>
  <w:abstractNum w:abstractNumId="2">
    <w:nsid w:val="5336745E"/>
    <w:multiLevelType w:val="hybridMultilevel"/>
    <w:tmpl w:val="14AA3A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42D516F"/>
    <w:multiLevelType w:val="hybridMultilevel"/>
    <w:tmpl w:val="BCC678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8E"/>
    <w:rsid w:val="000273FF"/>
    <w:rsid w:val="00067E3B"/>
    <w:rsid w:val="000A41A0"/>
    <w:rsid w:val="0010188E"/>
    <w:rsid w:val="00103346"/>
    <w:rsid w:val="00132419"/>
    <w:rsid w:val="00187984"/>
    <w:rsid w:val="001A2402"/>
    <w:rsid w:val="001E7001"/>
    <w:rsid w:val="001E7FE6"/>
    <w:rsid w:val="002416CA"/>
    <w:rsid w:val="00376072"/>
    <w:rsid w:val="003D1E62"/>
    <w:rsid w:val="00411DD5"/>
    <w:rsid w:val="00440C38"/>
    <w:rsid w:val="004A2AD3"/>
    <w:rsid w:val="004E5188"/>
    <w:rsid w:val="0058133C"/>
    <w:rsid w:val="005D7AFA"/>
    <w:rsid w:val="00627DDC"/>
    <w:rsid w:val="00684256"/>
    <w:rsid w:val="00723047"/>
    <w:rsid w:val="007F2639"/>
    <w:rsid w:val="00840D22"/>
    <w:rsid w:val="00880CD6"/>
    <w:rsid w:val="00896574"/>
    <w:rsid w:val="008A79BE"/>
    <w:rsid w:val="00917D4D"/>
    <w:rsid w:val="009C0A0E"/>
    <w:rsid w:val="00A225A8"/>
    <w:rsid w:val="00AF2E0E"/>
    <w:rsid w:val="00BB2B3D"/>
    <w:rsid w:val="00BC49A6"/>
    <w:rsid w:val="00BC7ADD"/>
    <w:rsid w:val="00CA0CE6"/>
    <w:rsid w:val="00CB6E62"/>
    <w:rsid w:val="00D43ADE"/>
    <w:rsid w:val="00D7334D"/>
    <w:rsid w:val="00DE0915"/>
    <w:rsid w:val="00E17D08"/>
    <w:rsid w:val="00E726F0"/>
    <w:rsid w:val="00E72C5D"/>
    <w:rsid w:val="00E91F94"/>
    <w:rsid w:val="00FB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A6"/>
    <w:pPr>
      <w:spacing w:after="200"/>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188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C7ADD"/>
    <w:pPr>
      <w:spacing w:after="0"/>
    </w:pPr>
    <w:rPr>
      <w:rFonts w:ascii="Tahoma" w:hAnsi="Tahoma" w:cs="Tahoma"/>
      <w:sz w:val="16"/>
      <w:szCs w:val="16"/>
      <w:lang w:val="en-US" w:eastAsia="en-GB"/>
    </w:rPr>
  </w:style>
  <w:style w:type="character" w:customStyle="1" w:styleId="BalloonTextChar">
    <w:name w:val="Balloon Text Char"/>
    <w:basedOn w:val="DefaultParagraphFont"/>
    <w:link w:val="BalloonText"/>
    <w:uiPriority w:val="99"/>
    <w:semiHidden/>
    <w:locked/>
    <w:rsid w:val="00BC7ADD"/>
    <w:rPr>
      <w:rFonts w:ascii="Tahoma" w:hAnsi="Tahoma" w:cs="Tahoma"/>
      <w:sz w:val="16"/>
      <w:szCs w:val="16"/>
    </w:rPr>
  </w:style>
  <w:style w:type="paragraph" w:styleId="DocumentMap">
    <w:name w:val="Document Map"/>
    <w:basedOn w:val="Normal"/>
    <w:link w:val="DocumentMapChar"/>
    <w:uiPriority w:val="99"/>
    <w:semiHidden/>
    <w:rsid w:val="000A41A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lang w:val="en-GB"/>
    </w:rPr>
  </w:style>
  <w:style w:type="paragraph" w:styleId="Header">
    <w:name w:val="header"/>
    <w:basedOn w:val="Normal"/>
    <w:link w:val="HeaderChar"/>
    <w:uiPriority w:val="99"/>
    <w:rsid w:val="00E91F94"/>
    <w:pPr>
      <w:tabs>
        <w:tab w:val="center" w:pos="4513"/>
        <w:tab w:val="right" w:pos="9026"/>
      </w:tabs>
    </w:pPr>
    <w:rPr>
      <w:lang w:val="en-US"/>
    </w:rPr>
  </w:style>
  <w:style w:type="character" w:customStyle="1" w:styleId="HeaderChar">
    <w:name w:val="Header Char"/>
    <w:basedOn w:val="DefaultParagraphFont"/>
    <w:link w:val="Header"/>
    <w:uiPriority w:val="99"/>
    <w:locked/>
    <w:rsid w:val="00E91F94"/>
    <w:rPr>
      <w:sz w:val="22"/>
      <w:szCs w:val="22"/>
      <w:lang w:eastAsia="en-US"/>
    </w:rPr>
  </w:style>
  <w:style w:type="paragraph" w:styleId="Footer">
    <w:name w:val="footer"/>
    <w:basedOn w:val="Normal"/>
    <w:link w:val="FooterChar"/>
    <w:uiPriority w:val="99"/>
    <w:rsid w:val="00E91F94"/>
    <w:pPr>
      <w:tabs>
        <w:tab w:val="center" w:pos="4513"/>
        <w:tab w:val="right" w:pos="9026"/>
      </w:tabs>
    </w:pPr>
    <w:rPr>
      <w:lang w:val="en-US"/>
    </w:rPr>
  </w:style>
  <w:style w:type="character" w:customStyle="1" w:styleId="FooterChar">
    <w:name w:val="Footer Char"/>
    <w:basedOn w:val="DefaultParagraphFont"/>
    <w:link w:val="Footer"/>
    <w:uiPriority w:val="99"/>
    <w:locked/>
    <w:rsid w:val="00E91F94"/>
    <w:rPr>
      <w:sz w:val="22"/>
      <w:szCs w:val="22"/>
      <w:lang w:eastAsia="en-US"/>
    </w:rPr>
  </w:style>
  <w:style w:type="paragraph" w:styleId="ListParagraph">
    <w:name w:val="List Paragraph"/>
    <w:basedOn w:val="Normal"/>
    <w:uiPriority w:val="99"/>
    <w:qFormat/>
    <w:rsid w:val="00880CD6"/>
    <w:pPr>
      <w:spacing w:line="276"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A6"/>
    <w:pPr>
      <w:spacing w:after="200"/>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188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C7ADD"/>
    <w:pPr>
      <w:spacing w:after="0"/>
    </w:pPr>
    <w:rPr>
      <w:rFonts w:ascii="Tahoma" w:hAnsi="Tahoma" w:cs="Tahoma"/>
      <w:sz w:val="16"/>
      <w:szCs w:val="16"/>
      <w:lang w:val="en-US" w:eastAsia="en-GB"/>
    </w:rPr>
  </w:style>
  <w:style w:type="character" w:customStyle="1" w:styleId="BalloonTextChar">
    <w:name w:val="Balloon Text Char"/>
    <w:basedOn w:val="DefaultParagraphFont"/>
    <w:link w:val="BalloonText"/>
    <w:uiPriority w:val="99"/>
    <w:semiHidden/>
    <w:locked/>
    <w:rsid w:val="00BC7ADD"/>
    <w:rPr>
      <w:rFonts w:ascii="Tahoma" w:hAnsi="Tahoma" w:cs="Tahoma"/>
      <w:sz w:val="16"/>
      <w:szCs w:val="16"/>
    </w:rPr>
  </w:style>
  <w:style w:type="paragraph" w:styleId="DocumentMap">
    <w:name w:val="Document Map"/>
    <w:basedOn w:val="Normal"/>
    <w:link w:val="DocumentMapChar"/>
    <w:uiPriority w:val="99"/>
    <w:semiHidden/>
    <w:rsid w:val="000A41A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lang w:val="en-GB"/>
    </w:rPr>
  </w:style>
  <w:style w:type="paragraph" w:styleId="Header">
    <w:name w:val="header"/>
    <w:basedOn w:val="Normal"/>
    <w:link w:val="HeaderChar"/>
    <w:uiPriority w:val="99"/>
    <w:rsid w:val="00E91F94"/>
    <w:pPr>
      <w:tabs>
        <w:tab w:val="center" w:pos="4513"/>
        <w:tab w:val="right" w:pos="9026"/>
      </w:tabs>
    </w:pPr>
    <w:rPr>
      <w:lang w:val="en-US"/>
    </w:rPr>
  </w:style>
  <w:style w:type="character" w:customStyle="1" w:styleId="HeaderChar">
    <w:name w:val="Header Char"/>
    <w:basedOn w:val="DefaultParagraphFont"/>
    <w:link w:val="Header"/>
    <w:uiPriority w:val="99"/>
    <w:locked/>
    <w:rsid w:val="00E91F94"/>
    <w:rPr>
      <w:sz w:val="22"/>
      <w:szCs w:val="22"/>
      <w:lang w:eastAsia="en-US"/>
    </w:rPr>
  </w:style>
  <w:style w:type="paragraph" w:styleId="Footer">
    <w:name w:val="footer"/>
    <w:basedOn w:val="Normal"/>
    <w:link w:val="FooterChar"/>
    <w:uiPriority w:val="99"/>
    <w:rsid w:val="00E91F94"/>
    <w:pPr>
      <w:tabs>
        <w:tab w:val="center" w:pos="4513"/>
        <w:tab w:val="right" w:pos="9026"/>
      </w:tabs>
    </w:pPr>
    <w:rPr>
      <w:lang w:val="en-US"/>
    </w:rPr>
  </w:style>
  <w:style w:type="character" w:customStyle="1" w:styleId="FooterChar">
    <w:name w:val="Footer Char"/>
    <w:basedOn w:val="DefaultParagraphFont"/>
    <w:link w:val="Footer"/>
    <w:uiPriority w:val="99"/>
    <w:locked/>
    <w:rsid w:val="00E91F94"/>
    <w:rPr>
      <w:sz w:val="22"/>
      <w:szCs w:val="22"/>
      <w:lang w:eastAsia="en-US"/>
    </w:rPr>
  </w:style>
  <w:style w:type="paragraph" w:styleId="ListParagraph">
    <w:name w:val="List Paragraph"/>
    <w:basedOn w:val="Normal"/>
    <w:uiPriority w:val="99"/>
    <w:qFormat/>
    <w:rsid w:val="00880CD6"/>
    <w:pPr>
      <w:spacing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89816">
      <w:marLeft w:val="0"/>
      <w:marRight w:val="0"/>
      <w:marTop w:val="0"/>
      <w:marBottom w:val="0"/>
      <w:divBdr>
        <w:top w:val="none" w:sz="0" w:space="0" w:color="auto"/>
        <w:left w:val="none" w:sz="0" w:space="0" w:color="auto"/>
        <w:bottom w:val="none" w:sz="0" w:space="0" w:color="auto"/>
        <w:right w:val="none" w:sz="0" w:space="0" w:color="auto"/>
      </w:divBdr>
      <w:divsChild>
        <w:div w:id="775489813">
          <w:marLeft w:val="418"/>
          <w:marRight w:val="0"/>
          <w:marTop w:val="0"/>
          <w:marBottom w:val="0"/>
          <w:divBdr>
            <w:top w:val="none" w:sz="0" w:space="0" w:color="auto"/>
            <w:left w:val="none" w:sz="0" w:space="0" w:color="auto"/>
            <w:bottom w:val="none" w:sz="0" w:space="0" w:color="auto"/>
            <w:right w:val="none" w:sz="0" w:space="0" w:color="auto"/>
          </w:divBdr>
        </w:div>
        <w:div w:id="775489814">
          <w:marLeft w:val="418"/>
          <w:marRight w:val="0"/>
          <w:marTop w:val="0"/>
          <w:marBottom w:val="0"/>
          <w:divBdr>
            <w:top w:val="none" w:sz="0" w:space="0" w:color="auto"/>
            <w:left w:val="none" w:sz="0" w:space="0" w:color="auto"/>
            <w:bottom w:val="none" w:sz="0" w:space="0" w:color="auto"/>
            <w:right w:val="none" w:sz="0" w:space="0" w:color="auto"/>
          </w:divBdr>
        </w:div>
        <w:div w:id="775489815">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PowerPoint_97-2003_Presentation1.ppt"/><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3318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Audit Template</vt:lpstr>
    </vt:vector>
  </TitlesOfParts>
  <Company>BCH NHS Trust</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Template</dc:title>
  <dc:creator>M.Bignell</dc:creator>
  <cp:lastModifiedBy>Craig McKibbin</cp:lastModifiedBy>
  <cp:revision>2</cp:revision>
  <cp:lastPrinted>2014-09-17T17:37:00Z</cp:lastPrinted>
  <dcterms:created xsi:type="dcterms:W3CDTF">2015-10-15T15:47:00Z</dcterms:created>
  <dcterms:modified xsi:type="dcterms:W3CDTF">2015-10-15T15:47:00Z</dcterms:modified>
</cp:coreProperties>
</file>